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  <w:bookmarkStart w:id="0" w:name="_GoBack"/>
      <w:bookmarkEnd w:id="0"/>
      <w:r>
        <w:rPr>
          <w:sz w:val="16"/>
          <w:lang w:val="es-ES_tradnl"/>
        </w:rPr>
        <w:t>1. Categoría socioeconómica del sujeto (V.00.190) y del padre (V.00.191)</w:t>
      </w:r>
      <w:r>
        <w:rPr>
          <w:sz w:val="16"/>
          <w:lang w:val="es-ES_tradnl"/>
        </w:rPr>
        <w:fldChar w:fldCharType="begin"/>
      </w:r>
      <w:r>
        <w:rPr>
          <w:sz w:val="16"/>
          <w:lang w:val="es-ES_tradnl"/>
        </w:rPr>
        <w:instrText>PRIVATE</w:instrText>
      </w:r>
      <w:r>
        <w:rPr>
          <w:sz w:val="16"/>
          <w:lang w:val="es-ES_tradnl"/>
        </w:rPr>
        <w:instrText xml:space="preserve"> </w:instrText>
      </w:r>
      <w:r>
        <w:rPr>
          <w:sz w:val="20"/>
          <w:lang w:val="es-ES_tradnl"/>
        </w:rPr>
      </w:r>
      <w:r>
        <w:rPr>
          <w:sz w:val="16"/>
          <w:lang w:val="es-ES_tradnl"/>
        </w:rPr>
        <w:fldChar w:fldCharType="end"/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109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44-45</w:t>
      </w:r>
      <w:r>
        <w:rPr>
          <w:sz w:val="16"/>
          <w:lang w:val="es-ES_tradnl"/>
        </w:rPr>
        <w:tab/>
        <w:t>Categoría del sujeto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46-47</w:t>
      </w:r>
      <w:r>
        <w:rPr>
          <w:sz w:val="16"/>
          <w:lang w:val="es-ES_tradnl"/>
        </w:rPr>
        <w:tab/>
        <w:t>Categoría del padre del sujeto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Códigos utilizados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01=</w:t>
      </w:r>
      <w:r>
        <w:rPr>
          <w:sz w:val="16"/>
          <w:lang w:val="es-ES_tradnl"/>
        </w:rPr>
        <w:tab/>
        <w:t>A.1 Empleadores expertos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02=</w:t>
      </w:r>
      <w:r>
        <w:rPr>
          <w:sz w:val="16"/>
          <w:lang w:val="es-ES_tradnl"/>
        </w:rPr>
        <w:tab/>
        <w:t>A.2 Empleadores no experto</w:t>
      </w:r>
      <w:r>
        <w:rPr>
          <w:sz w:val="16"/>
          <w:lang w:val="es-ES_tradnl"/>
        </w:rPr>
        <w:t>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03=</w:t>
      </w:r>
      <w:r>
        <w:rPr>
          <w:sz w:val="16"/>
          <w:lang w:val="es-ES_tradnl"/>
        </w:rPr>
        <w:tab/>
        <w:t>B.1 Autónomos expertos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04=</w:t>
      </w:r>
      <w:r>
        <w:rPr>
          <w:sz w:val="16"/>
          <w:lang w:val="es-ES_tradnl"/>
        </w:rPr>
        <w:tab/>
        <w:t>B.2 Autónomos cualificados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05=</w:t>
      </w:r>
      <w:r>
        <w:rPr>
          <w:sz w:val="16"/>
          <w:lang w:val="es-ES_tradnl"/>
        </w:rPr>
        <w:tab/>
        <w:t>B.3 Autónomos no cualificados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08=</w:t>
      </w:r>
      <w:r>
        <w:rPr>
          <w:sz w:val="16"/>
          <w:lang w:val="es-ES_tradnl"/>
        </w:rPr>
        <w:tab/>
        <w:t>C.1 Cuadros expertos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09=</w:t>
      </w:r>
      <w:r>
        <w:rPr>
          <w:sz w:val="16"/>
          <w:lang w:val="es-ES_tradnl"/>
        </w:rPr>
        <w:tab/>
        <w:t>C.2 Cuadros no expertos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10=</w:t>
      </w:r>
      <w:r>
        <w:rPr>
          <w:sz w:val="16"/>
          <w:lang w:val="es-ES_tradnl"/>
        </w:rPr>
        <w:tab/>
        <w:t>D.1 Empleados expertos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11=</w:t>
      </w:r>
      <w:r>
        <w:rPr>
          <w:sz w:val="16"/>
          <w:lang w:val="es-ES_tradnl"/>
        </w:rPr>
        <w:tab/>
        <w:t>D.2 Empleados semiexpertos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40" w:hanging="1440"/>
        <w:rPr>
          <w:sz w:val="16"/>
          <w:lang w:val="es-ES_tradnl"/>
        </w:rPr>
      </w:pPr>
      <w:r>
        <w:rPr>
          <w:sz w:val="16"/>
          <w:lang w:val="es-ES_tradnl"/>
        </w:rPr>
        <w:tab/>
        <w:t>12=</w:t>
      </w:r>
      <w:r>
        <w:rPr>
          <w:sz w:val="16"/>
          <w:lang w:val="es-ES_tradnl"/>
        </w:rPr>
        <w:tab/>
        <w:t>D.3 Empleados cualificados no manuales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13=</w:t>
      </w:r>
      <w:r>
        <w:rPr>
          <w:sz w:val="16"/>
          <w:lang w:val="es-ES_tradnl"/>
        </w:rPr>
        <w:tab/>
        <w:t>D.4 Empleados cualificados manuales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14=</w:t>
      </w:r>
      <w:r>
        <w:rPr>
          <w:sz w:val="16"/>
          <w:lang w:val="es-ES_tradnl"/>
        </w:rPr>
        <w:tab/>
        <w:t>D.5 Empleados no cualificados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15=</w:t>
      </w:r>
      <w:r>
        <w:rPr>
          <w:sz w:val="16"/>
          <w:lang w:val="es-ES_tradnl"/>
        </w:rPr>
        <w:tab/>
        <w:t>E.1 No clasificables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  <w:r>
        <w:rPr>
          <w:sz w:val="16"/>
          <w:lang w:val="es-ES_tradnl"/>
        </w:rPr>
        <w:t>2. Algunas variables utilizadas en el apartado 6 (Movimientos migratorios)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058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V.6.13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43-44</w:t>
      </w:r>
      <w:r>
        <w:rPr>
          <w:sz w:val="16"/>
          <w:lang w:val="es-ES_tradnl"/>
        </w:rPr>
        <w:tab/>
        <w:t>Número de años de permanencia en el úl</w:t>
      </w:r>
      <w:r>
        <w:rPr>
          <w:sz w:val="16"/>
          <w:lang w:val="es-ES_tradnl"/>
        </w:rPr>
        <w:t>timo municipio de residencia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45-46</w:t>
      </w:r>
      <w:r>
        <w:rPr>
          <w:sz w:val="16"/>
          <w:lang w:val="es-ES_tradnl"/>
        </w:rPr>
        <w:tab/>
        <w:t>Número de años de permanencia en la última provincia de residencia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47-48</w:t>
      </w:r>
      <w:r>
        <w:rPr>
          <w:sz w:val="16"/>
          <w:lang w:val="es-ES_tradnl"/>
        </w:rPr>
        <w:tab/>
        <w:t>Número de años de permanencia en la última CC.AA. de residencia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V.6.53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49</w:t>
      </w:r>
      <w:r>
        <w:rPr>
          <w:sz w:val="16"/>
          <w:lang w:val="es-ES_tradnl"/>
        </w:rPr>
        <w:tab/>
        <w:t>Situación de pareja en el año precedente al pri</w:t>
      </w:r>
      <w:r>
        <w:rPr>
          <w:sz w:val="16"/>
          <w:lang w:val="es-ES_tradnl"/>
        </w:rPr>
        <w:t>mer movimiento internacional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50</w:t>
      </w:r>
      <w:r>
        <w:rPr>
          <w:sz w:val="16"/>
          <w:lang w:val="es-ES_tradnl"/>
        </w:rPr>
        <w:tab/>
        <w:t>Situación de pareja en el año siguiente al primer movimiento internacional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b/>
          <w:sz w:val="16"/>
          <w:lang w:val="es-ES_tradnl"/>
        </w:rPr>
      </w:pPr>
      <w:r>
        <w:rPr>
          <w:b/>
          <w:sz w:val="16"/>
          <w:lang w:val="es-ES_tradnl"/>
        </w:rPr>
        <w:tab/>
        <w:t>Códigos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1=</w:t>
      </w:r>
      <w:r>
        <w:rPr>
          <w:sz w:val="16"/>
          <w:lang w:val="es-ES_tradnl"/>
        </w:rPr>
        <w:tab/>
        <w:t>Sin pareja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2=</w:t>
      </w:r>
      <w:r>
        <w:rPr>
          <w:sz w:val="16"/>
          <w:lang w:val="es-ES_tradnl"/>
        </w:rPr>
        <w:tab/>
        <w:t>Con pareja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2159" w:hanging="2159"/>
        <w:rPr>
          <w:sz w:val="16"/>
          <w:lang w:val="es-ES_tradnl"/>
        </w:rPr>
      </w:pPr>
      <w:r>
        <w:rPr>
          <w:sz w:val="16"/>
          <w:lang w:val="es-ES_tradnl"/>
        </w:rPr>
        <w:tab/>
        <w:t>Tabla V.6.21</w:t>
      </w:r>
      <w:r>
        <w:rPr>
          <w:sz w:val="16"/>
          <w:lang w:val="es-ES_tradnl"/>
        </w:rPr>
        <w:tab/>
        <w:t>Relación entre el lugar de nacimiento y el lugar de residencia actual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6"/>
          <w:lang w:val="es-ES_tradnl"/>
        </w:rPr>
      </w:pP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51</w:t>
      </w:r>
      <w:r>
        <w:rPr>
          <w:sz w:val="16"/>
          <w:lang w:val="es-ES_tradnl"/>
        </w:rPr>
        <w:tab/>
        <w:t xml:space="preserve">(1) Sin </w:t>
      </w:r>
      <w:r>
        <w:rPr>
          <w:sz w:val="16"/>
          <w:lang w:val="es-ES_tradnl"/>
        </w:rPr>
        <w:t>cambios migratorios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Permanece en el mismo municipio, después de cambios migratorios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Permanece en la misma provincia, ha cambiado de municipio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Permanece en la misma CC.AA., ha cambiado de provincia</w:t>
      </w:r>
    </w:p>
    <w:p w:rsidR="00000000" w:rsidRDefault="00E16F6A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(5) Nacido fuera de España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</w:t>
      </w:r>
      <w:r>
        <w:rPr>
          <w:sz w:val="16"/>
          <w:lang w:val="es-ES_tradnl"/>
        </w:rPr>
        <w:t>2</w:t>
      </w:r>
      <w:r>
        <w:rPr>
          <w:sz w:val="16"/>
          <w:lang w:val="es-ES_tradnl"/>
        </w:rPr>
        <w:tab/>
        <w:t>(1) El cambio ha sido a un municipio de similar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El cambio ha sido a un municipio de menor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El cambio ha sido a un municipio de mayor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2159" w:hanging="2159"/>
        <w:rPr>
          <w:sz w:val="16"/>
          <w:lang w:val="es-ES_tradnl"/>
        </w:rPr>
      </w:pPr>
      <w:r>
        <w:rPr>
          <w:sz w:val="16"/>
          <w:lang w:val="es-ES_tradnl"/>
        </w:rPr>
        <w:tab/>
        <w:t>Tabla V.6.31</w:t>
      </w:r>
      <w:r>
        <w:rPr>
          <w:sz w:val="16"/>
          <w:lang w:val="es-ES_tradnl"/>
        </w:rPr>
        <w:tab/>
        <w:t>Primer movimiento migratorio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53</w:t>
      </w:r>
      <w:r>
        <w:rPr>
          <w:sz w:val="16"/>
          <w:lang w:val="es-ES_tradnl"/>
        </w:rPr>
        <w:tab/>
        <w:t xml:space="preserve">(1) De un municipio a otro de la </w:t>
      </w:r>
      <w:r>
        <w:rPr>
          <w:sz w:val="16"/>
          <w:lang w:val="es-ES_tradnl"/>
        </w:rPr>
        <w:t>misma provincia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De una provincia a otra de la misma CC.AA.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De una CC.AA. a otra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De un municipio español al extranjero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(5) Del extranjero a un municipio español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54</w:t>
      </w:r>
      <w:r>
        <w:rPr>
          <w:sz w:val="16"/>
          <w:lang w:val="es-ES_tradnl"/>
        </w:rPr>
        <w:tab/>
        <w:t>(1) El cambio ha sido a un municipio de similar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 xml:space="preserve">(2) </w:t>
      </w:r>
      <w:r>
        <w:rPr>
          <w:sz w:val="16"/>
          <w:lang w:val="es-ES_tradnl"/>
        </w:rPr>
        <w:t>El cambio ha sido a un municipio de menor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El cambio ha sido a un municipio de mayor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2159" w:hanging="2159"/>
        <w:rPr>
          <w:sz w:val="16"/>
          <w:lang w:val="es-ES_tradnl"/>
        </w:rPr>
      </w:pPr>
      <w:r>
        <w:rPr>
          <w:sz w:val="16"/>
          <w:lang w:val="es-ES_tradnl"/>
        </w:rPr>
        <w:tab/>
        <w:t>Tabla V.6.56</w:t>
      </w:r>
      <w:r>
        <w:rPr>
          <w:sz w:val="16"/>
          <w:lang w:val="es-ES_tradnl"/>
        </w:rPr>
        <w:tab/>
        <w:t>Relación entre el lugar de residencia antes y después del ciclo de emigración(es) exterior(es)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55</w:t>
      </w:r>
      <w:r>
        <w:rPr>
          <w:sz w:val="16"/>
          <w:lang w:val="es-ES_tradnl"/>
        </w:rPr>
        <w:tab/>
        <w:t>(1) El emigrante volvió al mism</w:t>
      </w:r>
      <w:r>
        <w:rPr>
          <w:sz w:val="16"/>
          <w:lang w:val="es-ES_tradnl"/>
        </w:rPr>
        <w:t>o municipio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El emigrante ha pasado...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De un municipio a otro de la misma provincia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De una provincia a otra de la misma CC.AA.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De una CC.AA. a otra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56</w:t>
      </w:r>
      <w:r>
        <w:rPr>
          <w:sz w:val="16"/>
          <w:lang w:val="es-ES_tradnl"/>
        </w:rPr>
        <w:tab/>
        <w:t>(1) El cambio ha sido a un municipio de similar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 xml:space="preserve">(2) El cambio ha </w:t>
      </w:r>
      <w:r>
        <w:rPr>
          <w:sz w:val="16"/>
          <w:lang w:val="es-ES_tradnl"/>
        </w:rPr>
        <w:t>sido a un municipio de menor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El cambio ha sido a un municipio de mayor tamaño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lastRenderedPageBreak/>
        <w:tab/>
        <w:t>Tabla V.6.32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Pos. 57-58</w:t>
      </w:r>
      <w:r>
        <w:rPr>
          <w:sz w:val="16"/>
          <w:lang w:val="es-ES_tradnl"/>
        </w:rPr>
        <w:tab/>
        <w:t>Primer movimiento migratorio interno.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Edad del sujeto en el momento de cambio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V.6.33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59-60</w:t>
      </w:r>
      <w:r>
        <w:rPr>
          <w:sz w:val="16"/>
          <w:lang w:val="es-ES_tradnl"/>
        </w:rPr>
        <w:tab/>
        <w:t>Primer movimiento migratori</w:t>
      </w:r>
      <w:r>
        <w:rPr>
          <w:sz w:val="16"/>
          <w:lang w:val="es-ES_tradnl"/>
        </w:rPr>
        <w:t>o interno. Tiempo de permanencia en años en el 2do. lugar de residencia.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Si 59-60=(--)--&gt; Permanece todavía en el 2do. lugar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V.6.52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61-62</w:t>
      </w:r>
      <w:r>
        <w:rPr>
          <w:sz w:val="16"/>
          <w:lang w:val="es-ES_tradnl"/>
        </w:rPr>
        <w:tab/>
        <w:t>Primer movimiento migratorio internacional con origen o destino España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Edad del sujeto en el mome</w:t>
      </w:r>
      <w:r>
        <w:rPr>
          <w:sz w:val="16"/>
          <w:lang w:val="es-ES_tradnl"/>
        </w:rPr>
        <w:t>nto de cambio.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059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 xml:space="preserve">Cabecera V.00.07.07 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43-44</w:t>
      </w:r>
      <w:r>
        <w:rPr>
          <w:sz w:val="16"/>
          <w:lang w:val="es-ES_tradnl"/>
        </w:rPr>
        <w:tab/>
        <w:t>Año en que se inició el primer movimiento migratorio internacional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V.6.52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45-46</w:t>
      </w:r>
      <w:r>
        <w:rPr>
          <w:sz w:val="16"/>
          <w:lang w:val="es-ES_tradnl"/>
        </w:rPr>
        <w:tab/>
        <w:t>Duración agregada en años de estancias en el extranjero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  <w:r>
        <w:rPr>
          <w:sz w:val="16"/>
          <w:lang w:val="es-ES_tradnl"/>
        </w:rPr>
        <w:t>3. Algunas variables utilizadas en el apa</w:t>
      </w:r>
      <w:r>
        <w:rPr>
          <w:sz w:val="16"/>
          <w:lang w:val="es-ES_tradnl"/>
        </w:rPr>
        <w:t xml:space="preserve">rtado 7 (Viviendas) 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082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V.7.53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41</w:t>
      </w:r>
      <w:r>
        <w:rPr>
          <w:sz w:val="16"/>
          <w:lang w:val="es-ES_tradnl"/>
        </w:rPr>
        <w:tab/>
        <w:t>Lugar en que se encuentra la vivienda secundaria más utilizada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b/>
          <w:sz w:val="16"/>
          <w:lang w:val="es-ES_tradnl"/>
        </w:rPr>
        <w:tab/>
        <w:t>Códigos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1=</w:t>
      </w:r>
      <w:r>
        <w:rPr>
          <w:sz w:val="16"/>
          <w:lang w:val="es-ES_tradnl"/>
        </w:rPr>
        <w:tab/>
        <w:t>En el mismo municipio que la principal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2=</w:t>
      </w:r>
      <w:r>
        <w:rPr>
          <w:sz w:val="16"/>
          <w:lang w:val="es-ES_tradnl"/>
        </w:rPr>
        <w:tab/>
        <w:t>En otro municipio de la provincia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3=</w:t>
      </w:r>
      <w:r>
        <w:rPr>
          <w:sz w:val="16"/>
          <w:lang w:val="es-ES_tradnl"/>
        </w:rPr>
        <w:tab/>
        <w:t>En otra provincia de la Comunidad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4=</w:t>
      </w:r>
      <w:r>
        <w:rPr>
          <w:sz w:val="16"/>
          <w:lang w:val="es-ES_tradnl"/>
        </w:rPr>
        <w:tab/>
        <w:t>E</w:t>
      </w:r>
      <w:r>
        <w:rPr>
          <w:sz w:val="16"/>
          <w:lang w:val="es-ES_tradnl"/>
        </w:rPr>
        <w:t>n otra Comunidad Autónoma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5=</w:t>
      </w:r>
      <w:r>
        <w:rPr>
          <w:sz w:val="16"/>
          <w:lang w:val="es-ES_tradnl"/>
        </w:rPr>
        <w:tab/>
        <w:t>En el extranjero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42</w:t>
      </w:r>
      <w:r>
        <w:rPr>
          <w:sz w:val="16"/>
          <w:lang w:val="es-ES_tradnl"/>
        </w:rPr>
        <w:tab/>
        <w:t>Si pos. 41=2 y en pos. 42 existe algún código del 1 al 6, el lugar en que se encuentra la vivienda secundaria es en otro municipio de la provincia dentro de la zona metropolitana.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  <w:r>
        <w:rPr>
          <w:sz w:val="16"/>
          <w:lang w:val="es-ES_tradnl"/>
        </w:rPr>
        <w:t>4. Algunas variabl</w:t>
      </w:r>
      <w:r>
        <w:rPr>
          <w:sz w:val="16"/>
          <w:lang w:val="es-ES_tradnl"/>
        </w:rPr>
        <w:t>es utilizadas en el apartado 10 (Servicio militar)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104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Tabla V.10.82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Relación entre el lugar en que se realizó el servicio militar y el lugar de residencia anterior.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Hizo el servicio militar...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37</w:t>
      </w:r>
      <w:r>
        <w:rPr>
          <w:sz w:val="16"/>
          <w:lang w:val="es-ES_tradnl"/>
        </w:rPr>
        <w:tab/>
        <w:t>(1) En su lugar de residencia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E</w:t>
      </w:r>
      <w:r>
        <w:rPr>
          <w:sz w:val="16"/>
          <w:lang w:val="es-ES_tradnl"/>
        </w:rPr>
        <w:t>n otro municipio de la misma provincia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En otra provincia de la misma CC.AA.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En otra CC.AA.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(5) En Africa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(6) Fuera del territorio español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(7) Residía anteriormente fuera de España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(8) No consta localidad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2159" w:hanging="2159"/>
        <w:rPr>
          <w:sz w:val="16"/>
          <w:lang w:val="es-ES_tradnl"/>
        </w:rPr>
      </w:pPr>
      <w:r>
        <w:rPr>
          <w:sz w:val="16"/>
          <w:lang w:val="es-ES_tradnl"/>
        </w:rPr>
        <w:tab/>
        <w:t>Tabla V.10.83</w:t>
      </w:r>
      <w:r>
        <w:rPr>
          <w:sz w:val="16"/>
          <w:lang w:val="es-ES_tradnl"/>
        </w:rPr>
        <w:tab/>
        <w:t>Cambio de</w:t>
      </w:r>
      <w:r>
        <w:rPr>
          <w:sz w:val="16"/>
          <w:lang w:val="es-ES_tradnl"/>
        </w:rPr>
        <w:t xml:space="preserve"> lugar de residencia en relación con el servicio militar.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lastRenderedPageBreak/>
        <w:tab/>
        <w:t>Al licenciarse el sujeto...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38</w:t>
      </w:r>
      <w:r>
        <w:rPr>
          <w:sz w:val="16"/>
          <w:lang w:val="es-ES_tradnl"/>
        </w:rPr>
        <w:tab/>
        <w:t>(1) Volvió a su lugar de origen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Permaneció en el lugar del servicio militar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Se trasladó a otro lugar de residencia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No consta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Cabecera V</w:t>
      </w:r>
      <w:r>
        <w:rPr>
          <w:sz w:val="16"/>
          <w:lang w:val="es-ES_tradnl"/>
        </w:rPr>
        <w:t>.00.311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Tamaño del municipio de residencia anterior al servicio militar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39</w:t>
      </w:r>
      <w:r>
        <w:rPr>
          <w:sz w:val="16"/>
          <w:lang w:val="es-ES_tradnl"/>
        </w:rPr>
        <w:tab/>
        <w:t>(1) Más de 500.000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De 100.001 a 500.000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De 50.001 a 100.000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De 20.001 a 50.000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(5) De 10.001 a 20.000 ha</w:t>
      </w:r>
      <w:r>
        <w:rPr>
          <w:sz w:val="16"/>
          <w:lang w:val="es-ES_tradnl"/>
        </w:rPr>
        <w:t>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(6) De 5.001 a 10.000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(7) De 2.001 a 5.000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(8) Menos de 2.000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 xml:space="preserve">(9) Fuera de España 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  <w:r>
        <w:rPr>
          <w:sz w:val="16"/>
          <w:lang w:val="es-ES_tradnl"/>
        </w:rPr>
        <w:t>5. Algunas variables utilizadas en el apartado 10 (Labores del hogar)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105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Cabecera V.00.312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Tamaño del mun</w:t>
      </w:r>
      <w:r>
        <w:rPr>
          <w:sz w:val="16"/>
          <w:lang w:val="es-ES_tradnl"/>
        </w:rPr>
        <w:t>icipio de residencia al iniciar el primer periodo de Labores del hogar.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33</w:t>
      </w:r>
      <w:r>
        <w:rPr>
          <w:sz w:val="16"/>
          <w:lang w:val="es-ES_tradnl"/>
        </w:rPr>
        <w:tab/>
        <w:t>(1) Más de 500.000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(2) De 100.001 a 500.000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(3) De 50.001 a 100.000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(4) De 20.001 a 50.000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(5) De 10.001 a 20.000 habi</w:t>
      </w:r>
      <w:r>
        <w:rPr>
          <w:sz w:val="16"/>
          <w:lang w:val="es-ES_tradnl"/>
        </w:rPr>
        <w:t>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 xml:space="preserve">(6) De 5.001 a 10.000 habitantes 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(7) De 2.001 a 5.000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(8) Menos de 2.000 habitantes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(9) Nacidos fuera de España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  <w:r>
        <w:rPr>
          <w:sz w:val="16"/>
          <w:lang w:val="es-ES_tradnl"/>
        </w:rPr>
        <w:t>6. Algunas variables utilizadas en el apartado 11 (Actividad actual)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446" w:hanging="446"/>
        <w:rPr>
          <w:sz w:val="16"/>
          <w:lang w:val="es-ES_tradnl"/>
        </w:rPr>
      </w:pPr>
      <w:r>
        <w:rPr>
          <w:sz w:val="16"/>
          <w:lang w:val="es-ES_tradnl"/>
        </w:rPr>
        <w:tab/>
        <w:t>Ficha 109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48</w:t>
      </w:r>
      <w:r>
        <w:rPr>
          <w:sz w:val="16"/>
          <w:lang w:val="es-ES_tradnl"/>
        </w:rPr>
        <w:tab/>
        <w:t>(1) Filtro general d</w:t>
      </w:r>
      <w:r>
        <w:rPr>
          <w:sz w:val="16"/>
          <w:lang w:val="es-ES_tradnl"/>
        </w:rPr>
        <w:t xml:space="preserve">e la tabulación de </w:t>
      </w:r>
      <w:r>
        <w:rPr>
          <w:b/>
          <w:i/>
          <w:sz w:val="16"/>
          <w:lang w:val="es-ES_tradnl"/>
        </w:rPr>
        <w:t>jubilados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Tablas V.11.30 a V.11.39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b/>
          <w:i/>
          <w:sz w:val="16"/>
          <w:lang w:val="es-ES_tradnl"/>
        </w:rPr>
      </w:pPr>
      <w:r>
        <w:rPr>
          <w:sz w:val="16"/>
          <w:lang w:val="es-ES_tradnl"/>
        </w:rPr>
        <w:tab/>
        <w:t>Pos. 49</w:t>
      </w:r>
      <w:r>
        <w:rPr>
          <w:sz w:val="16"/>
          <w:lang w:val="es-ES_tradnl"/>
        </w:rPr>
        <w:tab/>
        <w:t xml:space="preserve">(2) Filtro general de la tabulación de </w:t>
      </w:r>
      <w:r>
        <w:rPr>
          <w:b/>
          <w:i/>
          <w:sz w:val="16"/>
          <w:lang w:val="es-ES_tradnl"/>
        </w:rPr>
        <w:t>parados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Tablas V.11.40 a V.11.49</w:t>
      </w: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</w:p>
    <w:p w:rsidR="00000000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ind w:left="1439" w:hanging="1439"/>
        <w:rPr>
          <w:sz w:val="16"/>
          <w:lang w:val="es-ES_tradnl"/>
        </w:rPr>
      </w:pPr>
      <w:r>
        <w:rPr>
          <w:sz w:val="16"/>
          <w:lang w:val="es-ES_tradnl"/>
        </w:rPr>
        <w:tab/>
        <w:t>Pos. 50</w:t>
      </w:r>
      <w:r>
        <w:rPr>
          <w:sz w:val="16"/>
          <w:lang w:val="es-ES_tradnl"/>
        </w:rPr>
        <w:tab/>
        <w:t xml:space="preserve">(3) Filtro general de la tabulación de </w:t>
      </w:r>
      <w:r>
        <w:rPr>
          <w:b/>
          <w:i/>
          <w:sz w:val="16"/>
          <w:lang w:val="es-ES_tradnl"/>
        </w:rPr>
        <w:t>mujeres inactivas dedicadas a las labores del hogar.</w:t>
      </w:r>
    </w:p>
    <w:p w:rsidR="00E16F6A" w:rsidRDefault="00E16F6A">
      <w:pPr>
        <w:pStyle w:val="1interl"/>
        <w:tabs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pacing w:line="240" w:lineRule="auto"/>
        <w:rPr>
          <w:sz w:val="16"/>
          <w:lang w:val="es-ES_tradnl"/>
        </w:rPr>
      </w:pP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</w:r>
      <w:r>
        <w:rPr>
          <w:sz w:val="16"/>
          <w:lang w:val="es-ES_tradnl"/>
        </w:rPr>
        <w:tab/>
        <w:t>Tablas V.</w:t>
      </w:r>
      <w:r>
        <w:rPr>
          <w:sz w:val="16"/>
          <w:lang w:val="es-ES_tradnl"/>
        </w:rPr>
        <w:t>11.50 a V.11.59</w:t>
      </w:r>
    </w:p>
    <w:sectPr w:rsidR="00E16F6A">
      <w:endnotePr>
        <w:numFmt w:val="decimal"/>
      </w:endnotePr>
      <w:pgSz w:w="11906" w:h="16838"/>
      <w:pgMar w:top="1700" w:right="1190" w:bottom="793" w:left="1814" w:header="1700" w:footer="79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F6A" w:rsidRDefault="00E16F6A">
      <w:pPr>
        <w:spacing w:line="20" w:lineRule="exact"/>
        <w:rPr>
          <w:sz w:val="24"/>
        </w:rPr>
      </w:pPr>
    </w:p>
  </w:endnote>
  <w:endnote w:type="continuationSeparator" w:id="0">
    <w:p w:rsidR="00E16F6A" w:rsidRDefault="00E16F6A">
      <w:pPr>
        <w:pStyle w:val="1interl"/>
      </w:pPr>
      <w:r>
        <w:rPr>
          <w:sz w:val="24"/>
          <w:lang w:val="es-ES"/>
        </w:rPr>
        <w:t xml:space="preserve"> </w:t>
      </w:r>
    </w:p>
  </w:endnote>
  <w:endnote w:type="continuationNotice" w:id="1">
    <w:p w:rsidR="00E16F6A" w:rsidRDefault="00E16F6A">
      <w:pPr>
        <w:pStyle w:val="1interl"/>
      </w:pPr>
      <w:r>
        <w:rPr>
          <w:sz w:val="24"/>
          <w:lang w:val="es-E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F6A" w:rsidRDefault="00E16F6A">
      <w:pPr>
        <w:pStyle w:val="1interl"/>
      </w:pPr>
      <w:r>
        <w:rPr>
          <w:sz w:val="24"/>
          <w:lang w:val="es-ES"/>
        </w:rPr>
        <w:separator/>
      </w:r>
    </w:p>
  </w:footnote>
  <w:footnote w:type="continuationSeparator" w:id="0">
    <w:p w:rsidR="00E16F6A" w:rsidRDefault="00E16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720"/>
  <w:hyphenationZone w:val="90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C6"/>
    <w:rsid w:val="001A4920"/>
    <w:rsid w:val="006911C6"/>
    <w:rsid w:val="00E1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6F985-8AF7-483E-9EA1-968AB994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Univers" w:hAnsi="Univers"/>
      <w:snapToGrid w:val="0"/>
      <w:sz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denotaalfinal">
    <w:name w:val="Texto de nota al final"/>
    <w:basedOn w:val="Normal"/>
    <w:rPr>
      <w:sz w:val="24"/>
    </w:rPr>
  </w:style>
  <w:style w:type="character" w:styleId="Refdenotaalfinal">
    <w:name w:val="endnote reference"/>
    <w:basedOn w:val="Fuentedeprrafopredeter"/>
    <w:semiHidden/>
    <w:rPr>
      <w:vertAlign w:val="superscript"/>
    </w:rPr>
  </w:style>
  <w:style w:type="paragraph" w:customStyle="1" w:styleId="Textodenotaalpie">
    <w:name w:val="Texto de nota al pie"/>
    <w:basedOn w:val="Normal"/>
    <w:rPr>
      <w:sz w:val="24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customStyle="1" w:styleId="interlin2">
    <w:name w:val="interlin2"/>
    <w:pPr>
      <w:widowControl w:val="0"/>
      <w:tabs>
        <w:tab w:val="left" w:pos="-720"/>
      </w:tabs>
      <w:suppressAutoHyphens/>
      <w:spacing w:line="48" w:lineRule="auto"/>
    </w:pPr>
    <w:rPr>
      <w:rFonts w:ascii="Univers" w:hAnsi="Univers"/>
      <w:snapToGrid w:val="0"/>
      <w:sz w:val="26"/>
      <w:lang w:val="en-US"/>
    </w:rPr>
  </w:style>
  <w:style w:type="character" w:customStyle="1" w:styleId="g3">
    <w:name w:val="g3"/>
    <w:basedOn w:val="Fuentedeprrafopredeter"/>
    <w:rPr>
      <w:rFonts w:ascii="Haettenschweiler" w:hAnsi="Haettenschweiler"/>
      <w:b/>
      <w:noProof w:val="0"/>
      <w:sz w:val="29"/>
      <w:lang w:val="en-US"/>
    </w:rPr>
  </w:style>
  <w:style w:type="character" w:customStyle="1" w:styleId="g2">
    <w:name w:val="g2"/>
    <w:basedOn w:val="Fuentedeprrafopredeter"/>
    <w:rPr>
      <w:rFonts w:ascii="Haettenschweiler" w:hAnsi="Haettenschweiler"/>
      <w:b/>
      <w:noProof w:val="0"/>
      <w:sz w:val="43"/>
      <w:lang w:val="en-US"/>
    </w:rPr>
  </w:style>
  <w:style w:type="paragraph" w:customStyle="1" w:styleId="1interl">
    <w:name w:val="1interl"/>
    <w:pPr>
      <w:widowControl w:val="0"/>
      <w:tabs>
        <w:tab w:val="left" w:pos="-720"/>
      </w:tabs>
      <w:suppressAutoHyphens/>
      <w:spacing w:line="72" w:lineRule="auto"/>
    </w:pPr>
    <w:rPr>
      <w:rFonts w:ascii="Univers" w:hAnsi="Univers"/>
      <w:snapToGrid w:val="0"/>
      <w:sz w:val="26"/>
      <w:lang w:val="en-US"/>
    </w:rPr>
  </w:style>
  <w:style w:type="paragraph" w:customStyle="1" w:styleId="g1">
    <w:name w:val="g1"/>
    <w:pPr>
      <w:widowControl w:val="0"/>
      <w:tabs>
        <w:tab w:val="left" w:pos="-1440"/>
        <w:tab w:val="left" w:pos="-720"/>
        <w:tab w:val="left" w:pos="5386"/>
      </w:tabs>
      <w:suppressAutoHyphens/>
    </w:pPr>
    <w:rPr>
      <w:rFonts w:ascii="Haettenschweiler" w:hAnsi="Haettenschweiler"/>
      <w:b/>
      <w:snapToGrid w:val="0"/>
      <w:sz w:val="48"/>
      <w:lang w:val="en-US"/>
    </w:rPr>
  </w:style>
  <w:style w:type="character" w:customStyle="1" w:styleId="datos">
    <w:name w:val="datos"/>
    <w:basedOn w:val="Fuentedeprrafopredeter"/>
    <w:rPr>
      <w:rFonts w:ascii="Haettenschweiler" w:hAnsi="Haettenschweiler"/>
      <w:noProof w:val="0"/>
      <w:sz w:val="19"/>
      <w:lang w:val="en-US"/>
    </w:rPr>
  </w:style>
  <w:style w:type="paragraph" w:customStyle="1" w:styleId="Tdc1">
    <w:name w:val="Tdc 1"/>
    <w:basedOn w:val="Normal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dc2">
    <w:name w:val="Tdc 2"/>
    <w:basedOn w:val="Normal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Tdc3">
    <w:name w:val="Tdc 3"/>
    <w:basedOn w:val="Normal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Tdc4">
    <w:name w:val="Tdc 4"/>
    <w:basedOn w:val="Normal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Tdc5">
    <w:name w:val="Tdc 5"/>
    <w:basedOn w:val="Normal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Tdc6">
    <w:name w:val="Tdc 6"/>
    <w:basedOn w:val="Normal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Tdc7">
    <w:name w:val="Tdc 7"/>
    <w:basedOn w:val="Normal"/>
    <w:pPr>
      <w:suppressAutoHyphens/>
      <w:ind w:left="720" w:hanging="720"/>
    </w:pPr>
    <w:rPr>
      <w:lang w:val="en-US"/>
    </w:rPr>
  </w:style>
  <w:style w:type="paragraph" w:customStyle="1" w:styleId="Tdc8">
    <w:name w:val="Tdc 8"/>
    <w:basedOn w:val="Normal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Tdc9">
    <w:name w:val="Tdc 9"/>
    <w:basedOn w:val="Normal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ndice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ndice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Encabezadodetda">
    <w:name w:val="Encabezado de tda"/>
    <w:basedOn w:val="Normal"/>
    <w:pPr>
      <w:tabs>
        <w:tab w:val="right" w:pos="9360"/>
      </w:tabs>
      <w:suppressAutoHyphens/>
    </w:pPr>
    <w:rPr>
      <w:lang w:val="en-US"/>
    </w:rPr>
  </w:style>
  <w:style w:type="paragraph" w:styleId="Ttulo">
    <w:name w:val="Title"/>
    <w:basedOn w:val="Normal"/>
    <w:qFormat/>
    <w:rPr>
      <w:sz w:val="24"/>
    </w:rPr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908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E.sociodemografica [graciela]</vt:lpstr>
    </vt:vector>
  </TitlesOfParts>
  <Company>IEA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E.sociodemografica [graciela]</dc:title>
  <dc:subject/>
  <dc:creator>viciana</dc:creator>
  <cp:keywords/>
  <dc:description/>
  <cp:lastModifiedBy>CCHS</cp:lastModifiedBy>
  <cp:revision>2</cp:revision>
  <dcterms:created xsi:type="dcterms:W3CDTF">2018-07-13T13:10:00Z</dcterms:created>
  <dcterms:modified xsi:type="dcterms:W3CDTF">2018-07-13T13:10:00Z</dcterms:modified>
</cp:coreProperties>
</file>